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740" w:type="dxa"/>
        <w:jc w:val="center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62"/>
        <w:gridCol w:w="1559"/>
        <w:gridCol w:w="401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62" w:type="dxa"/>
            <w:vAlign w:val="center"/>
            <w:textDirection w:val="lrTb"/>
            <w:noWrap w:val="false"/>
          </w:tcPr>
          <w:p>
            <w:pPr>
              <w:pStyle w:val="1041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41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Министерство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4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промышленности и торговли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Удмуртской Республики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1041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62610" cy="732434"/>
                      <wp:effectExtent l="0" t="0" r="0" b="0"/>
                      <wp:docPr id="1" name="_x0000_i103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62610" cy="7324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0.05pt;height:57.67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9" w:type="dxa"/>
            <w:vAlign w:val="center"/>
            <w:textDirection w:val="lrTb"/>
            <w:noWrap w:val="false"/>
          </w:tcPr>
          <w:p>
            <w:pPr>
              <w:pStyle w:val="1041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41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Удмурт Элькунысь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41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промышленностья но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  <w:p>
            <w:pPr>
              <w:pStyle w:val="104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</w:rPr>
              <w:t xml:space="preserve">вузкаронъя министерство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pStyle w:val="1041"/>
        <w:ind w:right="-57"/>
        <w:jc w:val="center"/>
        <w:spacing w:before="120"/>
        <w:tabs>
          <w:tab w:val="left" w:pos="10440" w:leader="none"/>
        </w:tabs>
        <w:rPr>
          <w:rFonts w:ascii="PT Astra Serif" w:hAnsi="PT Astra Serif" w:cs="PT Astra Serif"/>
          <w:color w:val="000000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Красная, 144, Ижевск, 426008</w:t>
      </w:r>
      <w:r>
        <w:rPr>
          <w:rFonts w:ascii="PT Astra Serif" w:hAnsi="PT Astra Serif" w:cs="PT Astra Serif"/>
          <w:color w:val="000000"/>
          <w:sz w:val="18"/>
          <w:szCs w:val="18"/>
        </w:rPr>
      </w:r>
      <w:r>
        <w:rPr>
          <w:rFonts w:ascii="PT Astra Serif" w:hAnsi="PT Astra Serif" w:cs="PT Astra Serif"/>
          <w:color w:val="000000"/>
          <w:sz w:val="18"/>
          <w:szCs w:val="18"/>
        </w:rPr>
      </w:r>
    </w:p>
    <w:p>
      <w:pPr>
        <w:pStyle w:val="1041"/>
        <w:ind w:right="-55"/>
        <w:jc w:val="center"/>
        <w:tabs>
          <w:tab w:val="left" w:pos="10440" w:leader="none"/>
        </w:tabs>
        <w:rPr>
          <w:rFonts w:ascii="PT Astra Serif" w:hAnsi="PT Astra Serif" w:cs="PT Astra Serif"/>
          <w:color w:val="000000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Тел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.: (3412) 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222-688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, 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e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-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mail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: </w:t>
      </w:r>
      <w:r>
        <w:rPr>
          <w:rFonts w:ascii="PT Astra Serif" w:hAnsi="PT Astra Serif" w:eastAsia="PT Astra Serif" w:cs="PT Astra Serif"/>
          <w:color w:val="000000"/>
          <w:lang w:val="en-US"/>
        </w:rPr>
        <w:t xml:space="preserve">mail@mpt.udmr.ru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, </w:t>
      </w:r>
      <w:r>
        <w:rPr>
          <w:rFonts w:ascii="PT Astra Serif" w:hAnsi="PT Astra Serif" w:eastAsia="PT Astra Serif" w:cs="PT Astra Serif"/>
          <w:lang w:val="en-US"/>
        </w:rPr>
        <w:t xml:space="preserve">http://www.mintorg.udmurt.ru</w:t>
      </w:r>
      <w:r>
        <w:rPr>
          <w:rFonts w:ascii="PT Astra Serif" w:hAnsi="PT Astra Serif" w:cs="PT Astra Serif"/>
          <w:color w:val="000000"/>
          <w:sz w:val="18"/>
          <w:szCs w:val="18"/>
        </w:rPr>
      </w:r>
      <w:r>
        <w:rPr>
          <w:rFonts w:ascii="PT Astra Serif" w:hAnsi="PT Astra Serif" w:cs="PT Astra Serif"/>
          <w:color w:val="000000"/>
          <w:sz w:val="18"/>
          <w:szCs w:val="18"/>
        </w:rPr>
      </w:r>
    </w:p>
    <w:p>
      <w:pPr>
        <w:pStyle w:val="1041"/>
        <w:ind w:right="-55"/>
        <w:jc w:val="center"/>
        <w:tabs>
          <w:tab w:val="left" w:pos="10440" w:leader="none"/>
        </w:tabs>
        <w:rPr>
          <w:rFonts w:ascii="PT Astra Serif" w:hAnsi="PT Astra Serif" w:cs="PT Astra Serif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ОКПО 29993625 О</w:t>
      </w:r>
      <w:r>
        <w:rPr>
          <w:rFonts w:ascii="PT Astra Serif" w:hAnsi="PT Astra Serif" w:eastAsia="PT Astra Serif" w:cs="PT Astra Serif"/>
          <w:sz w:val="18"/>
          <w:szCs w:val="18"/>
        </w:rPr>
        <w:t xml:space="preserve">Г</w:t>
      </w:r>
      <w:r>
        <w:rPr>
          <w:rFonts w:ascii="PT Astra Serif" w:hAnsi="PT Astra Serif" w:eastAsia="PT Astra Serif" w:cs="PT Astra Serif"/>
          <w:sz w:val="18"/>
          <w:szCs w:val="18"/>
        </w:rPr>
        <w:t xml:space="preserve">РН 1151831000463 ИНН/КПП 1841048002/184101001</w:t>
      </w:r>
      <w:r>
        <w:rPr>
          <w:rFonts w:ascii="PT Astra Serif" w:hAnsi="PT Astra Serif" w:cs="PT Astra Serif"/>
          <w:sz w:val="18"/>
          <w:szCs w:val="18"/>
        </w:rPr>
      </w:r>
      <w:r>
        <w:rPr>
          <w:rFonts w:ascii="PT Astra Serif" w:hAnsi="PT Astra Serif" w:cs="PT Astra Serif"/>
          <w:sz w:val="18"/>
          <w:szCs w:val="18"/>
        </w:rPr>
      </w:r>
    </w:p>
    <w:p>
      <w:pPr>
        <w:pStyle w:val="1041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65405</wp:posOffset>
                </wp:positionV>
                <wp:extent cx="6821805" cy="0"/>
                <wp:effectExtent l="0" t="0" r="0" b="0"/>
                <wp:wrapNone/>
                <wp:docPr id="2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82180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20.0pt,5.1pt" to="517.2pt,5.1pt" filled="f" strokecolor="#000000" strokeweight="0.99pt"/>
            </w:pict>
          </mc:Fallback>
        </mc:AlternateConten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041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ПРЕСС – РЕЛИЗ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092"/>
        <w:jc w:val="center"/>
        <w:spacing w:before="0" w:beforeAutospacing="0" w:after="0" w:afterAutospacing="0"/>
        <w:shd w:val="clear" w:color="auto" w:fill="ffffff"/>
        <w:rPr>
          <w:rStyle w:val="1093"/>
          <w:rFonts w:ascii="PT Astra Serif" w:hAnsi="PT Astra Serif" w:cs="PT Astra Serif"/>
          <w:b/>
          <w:color w:val="000000"/>
          <w:sz w:val="28"/>
          <w:szCs w:val="28"/>
          <w:highlight w:val="white"/>
        </w:rPr>
      </w:pPr>
      <w:r>
        <w:rPr>
          <w:rStyle w:val="1093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И</w:t>
      </w:r>
      <w:r>
        <w:rPr>
          <w:rStyle w:val="1093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тоги </w:t>
      </w:r>
      <w:r>
        <w:rPr>
          <w:rStyle w:val="1093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работы п</w:t>
      </w:r>
      <w:r>
        <w:rPr>
          <w:rStyle w:val="1093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ромышленных предприятий Удмуртии</w:t>
      </w:r>
      <w:r>
        <w:rPr>
          <w:rStyle w:val="1093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  <w:r>
        <w:rPr>
          <w:rStyle w:val="1093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</w:p>
    <w:p>
      <w:pPr>
        <w:pStyle w:val="1092"/>
        <w:jc w:val="center"/>
        <w:spacing w:before="0" w:beforeAutospacing="0" w:after="0" w:afterAutospacing="0"/>
        <w:shd w:val="clear" w:color="auto" w:fill="ffffff"/>
        <w:rPr>
          <w:rStyle w:val="1093"/>
          <w:rFonts w:ascii="PT Astra Serif" w:hAnsi="PT Astra Serif" w:cs="PT Astra Serif"/>
          <w:b/>
          <w:color w:val="000000"/>
          <w:sz w:val="28"/>
          <w:szCs w:val="28"/>
          <w:highlight w:val="white"/>
        </w:rPr>
      </w:pPr>
      <w:r>
        <w:rPr>
          <w:rStyle w:val="1093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за</w:t>
      </w:r>
      <w:r>
        <w:rPr>
          <w:rStyle w:val="1093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 I полугодие </w:t>
      </w:r>
      <w:r>
        <w:rPr>
          <w:rStyle w:val="1093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20</w:t>
      </w:r>
      <w:r>
        <w:rPr>
          <w:rStyle w:val="1093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2</w:t>
      </w:r>
      <w:r>
        <w:rPr>
          <w:rStyle w:val="1093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5</w:t>
      </w:r>
      <w:r>
        <w:rPr>
          <w:rStyle w:val="1093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 </w:t>
      </w:r>
      <w:r>
        <w:rPr>
          <w:rStyle w:val="1093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год</w:t>
      </w:r>
      <w:r>
        <w:rPr>
          <w:rStyle w:val="1093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а</w:t>
      </w:r>
      <w:r>
        <w:rPr>
          <w:rStyle w:val="1093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  <w:r>
        <w:rPr>
          <w:rStyle w:val="1093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</w:p>
    <w:p>
      <w:pPr>
        <w:pStyle w:val="1092"/>
        <w:jc w:val="center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</w:p>
    <w:p>
      <w:pPr>
        <w:pStyle w:val="1041"/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истерством промышленности и торговли Удмуртской Республики подведены итоги работы промышленных предприятий Удмуртской Республики за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I полугодие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25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года.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41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По данным Удмуртстата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6 месяцев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25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года предприятиями респуб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лики отгружено товаров (работ, услуг) собственного производства на сумму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663,2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млрд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рублей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темп роста к аналогичному периоду прошлого года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 109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,7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 итогам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I полугодия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2025 года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индекс промышленно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 производства (далее – ИПП)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в целом по промышленности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оставил 109,2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%, что на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7,8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п.п. выше ИПП Российск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ой Федерацией (101,4 %)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Удмуртия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за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нимает 2 место в ПФО и вх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одит в ТОП-10 в Российской Федерации по ИПП.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41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Предприятиями отрасли «обрабатывающих производств» отгружено продукции на 446,7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млрд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руб.,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темп роста к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логичному периоду прошлого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года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white"/>
          <w:lang w:eastAsia="ru-RU"/>
        </w:rPr>
        <w:t xml:space="preserve"> 128,3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индексу промышленного производства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Удмуртия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занимает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1-е место по отрасли «обрабатывающих производств» среди регионов ПФО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 120,7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 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входит в ТОП-3 в Российской Федерации.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ИПП выше общероссийского на 16,5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п.п.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(РФ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104,2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Доля отрасли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обрабатывающие производства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в общем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объеме пр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оизводства состав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ила 67,4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41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В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ысокий индекс производства при росте объемов отгруженных товаров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демонстрируют следующие отрасли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: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r>
    </w:p>
    <w:p>
      <w:pPr>
        <w:pStyle w:val="884"/>
        <w:numPr>
          <w:ilvl w:val="0"/>
          <w:numId w:val="79"/>
        </w:numPr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производство автотранспортных средств, прицепов и полуприцепов – в 2,8 раза;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884"/>
        <w:numPr>
          <w:ilvl w:val="0"/>
          <w:numId w:val="79"/>
        </w:numPr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производство готовых металлических издели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й – 130,4 %;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884"/>
        <w:numPr>
          <w:ilvl w:val="0"/>
          <w:numId w:val="79"/>
        </w:numPr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производство компьютеров, электронных и оптических изделий – 163,7 %;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884"/>
        <w:numPr>
          <w:ilvl w:val="0"/>
          <w:numId w:val="79"/>
        </w:numPr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производство прочих транспортных средств и оборудования – 143 %;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884"/>
        <w:numPr>
          <w:ilvl w:val="0"/>
          <w:numId w:val="79"/>
        </w:numPr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производство изделий из кожи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 - 102,6 %;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884"/>
        <w:numPr>
          <w:ilvl w:val="0"/>
          <w:numId w:val="79"/>
        </w:numPr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производство прочей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неметаллической минеральной продукции - 120,1 %;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firstLine="0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yellow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yellow"/>
          <w:lang w:eastAsia="ru-RU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yellow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yellow"/>
        </w:rPr>
      </w:r>
    </w:p>
    <w:p>
      <w:pPr>
        <w:pStyle w:val="1041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Основными предприятиями оказывающие значительное влияние на положительную динамику данных отраслей благодаря своим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высоким показателям по итогам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I полугодия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2025 года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продемонстрировали следующие предприятия: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«ИЭМЗ «Купол»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«Воткинский завод»,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«Ижевский мотозавод «Аксион-Холдинг»,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«Концерн «Калашников»,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АО «ЧМЗ»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</w:t>
        <w:br/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«СЭГЗ»,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«Ижевский механический завод»,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АО «Ижевский завод пластмасс»,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«Глазовский завод «Металлист»,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АО «НИТИ «Прогресс»,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br/>
        <w:t xml:space="preserve">ООО «Машиностроительный комплекс ЧМЗ»,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ООО «Орион»,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ООО «Новый дом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«Завод железобетонных издели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й»,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«136 ЦБПР»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До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б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ыча полезных ископаемых в общем объеме производства составила 27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,1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объем отгруженных товаров отрасли составил 179,7 млрд. рублей, темп рост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 к соответствующему периоду 2024 года – 79,7 %.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Индекс промышленного производства (ИПП)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по добыче полезных ископаемых в Удмуртской Республике составил 94,9 %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У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частники СВО могут получить максимальную скидку на переоборудование автомобилей на метан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При переоборудовании своего транспорта на метановое топливо участники СВО получат скидку до 100%. Для этого необходимо лишь предъявить соответствующие документы.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hyperlink r:id="rId12" w:tooltip="https://minpromtorg.udmurt.ru/materials/161" w:history="1">
        <w:r>
          <w:rPr>
            <w:rStyle w:val="1060"/>
            <w:rFonts w:ascii="PT Astra Serif" w:hAnsi="PT Astra Serif" w:eastAsia="PT Astra Serif" w:cs="PT Astra Serif"/>
            <w:color w:val="000000"/>
            <w:sz w:val="28"/>
            <w:szCs w:val="28"/>
            <w:highlight w:val="white"/>
            <w:u w:val="none"/>
          </w:rPr>
          <w:t xml:space="preserve">Полный перечень сервисных центров, осуществляющих переоборудование транспортных средств</w:t>
        </w:r>
      </w:hyperlink>
      <w:r>
        <w:rPr>
          <w:rFonts w:ascii="PT Astra Serif" w:hAnsi="PT Astra Serif" w:cs="PT Astra Serif"/>
          <w:sz w:val="28"/>
          <w:szCs w:val="28"/>
          <w:u w:val="none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  <w:hyperlink r:id="rId13" w:tooltip="http://minpromtorg.udmurt.ru/materials/161" w:history="1">
        <w:r>
          <w:rPr>
            <w:rStyle w:val="1060"/>
            <w:rFonts w:ascii="PT Astra Serif" w:hAnsi="PT Astra Serif" w:cs="PT Astra Serif"/>
            <w:sz w:val="28"/>
            <w:szCs w:val="28"/>
          </w:rPr>
          <w:t xml:space="preserve">http://minpromtorg.udmurt.ru/materials/161</w:t>
        </w:r>
      </w:hyperlink>
      <w:r>
        <w:rPr>
          <w:rFonts w:ascii="PT Astra Serif" w:hAnsi="PT Astra Serif" w:cs="PT Astra Serif"/>
          <w:sz w:val="28"/>
          <w:szCs w:val="28"/>
          <w:u w:val="none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П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ереоборудование авто на метан – это экологично и выгодно. Можно в два раза сократить расходы на топливо, продлить жизнь двигателю транспорта, а также поспособствовать сокращению загрязняющих веществ в атмосферу.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В 2024 году такой услугой воспользовались более 300 автомобилистов Удмуртии, в текущем году более 40.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  <w:t xml:space="preserve">Технологичное обновление на ИРЗ-Ринкос</w:t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  <w:r>
        <w:rPr>
          <w:b/>
          <w:bCs/>
        </w:rPr>
      </w:r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На заготовительном участке цеха 127 ИРЗ-Ринкос в июне начала работу новая установка оптоволоконной лазерной резки. Это современное оборудование позволяет практически полностью отказаться от прежней технологии с координатно-револьверными прессами с ЧПУ.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Первый лазерный станок появился ещё в 2021 году и стал настоящим прорывом в обработке листового металла. Новый станок мощнее и технологичнее: благодаря зоне обработки с системой видеонаблюдения, процесс резки стал безопаснее и у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добнее для оператора.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Установка с ЧПУ способна выполнять контурную резку листов и плит из алюминия, нержавеющей и углеродистой стали, латуни — вплоть до сложных художественных форм. Резка производится под давлением воздуха, кислорода или азота.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Планируется, что оборудование будет работать в две смены и полностью закроет потребности ИРЗ-Ринкос в лазерной резке.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  <w:t xml:space="preserve">Легендарный санаторий Варзи-Ятчи – новый участник нацпроекта «Эффективная и конкурентная экономика»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С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тарейшее учреждение «Санаторий Варзи-Ятчи», основанное в 1889 году, давно приобрело репутацию одного из ведущих лечебных центров региона благодаря уникальным природным ресурсам: минеральным водам и ценнейшим лечебным грязям. Многолетний опыт подтверждает в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ысокую эффективность применяемых методов оздоровления.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Н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о совершенству нет предела, поэтому санаторий активно участвует в национальном проекте «Эффективная и конкурентная экономика». Важным этапом стало включение учреждения в региональный проект «Производительность труда», реализуемый при поддержке Мини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стерства промышленности и торговли Удмуртской Республики.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Санаторий Варзи-Ятчи оптимизирует процесс уборки номеров по методике бережливого производства, утверждённой Минэкономразвития РФ. Цель - повысить эффективность сотрудников на 10%, помочь им быстрее справляться с работой с меньшими усилиями.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Результаты работы над проектом будут через 6 месяцев.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  <w:t xml:space="preserve">Национальный проект по обеспечению технологического лидерства «Новые материалы и химия» 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7-8 августа 2025 года состоялся координационный совет по промышленности, который в этом году проходит в Тольятти и посвящен новому нацпроекту «Новые материалы и химия». 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Первый день начался с масштабного мероприятия – посещения промышленных предприятий Тольятти: «Тольяттикаучук», «Куйбышевазот» и «Тольяттиазот». 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Ключевое событие сост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оялось на второй день – совместное заседание комиссии Госсовета и Координационных советов по промышленности и химии. Главная тема — реализация национального проекта «Новые материалы и химия». В заседании принял участие министр промышленности и торговли РФ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Антон Алиханов. «Нацпроект станет драйвером химической отрасли, машиностроения, металлургии и смежных секторов. Его реализация создаст новые рабочие места и стимулирует инновации», – отметил глава Минпромторга РФ.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/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/>
          <w:bCs w:val="0"/>
          <w:i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b/>
          <w:bCs/>
          <w:i w:val="0"/>
          <w:iCs w:val="0"/>
          <w:sz w:val="28"/>
          <w:szCs w:val="28"/>
        </w:rPr>
        <w:t xml:space="preserve">В Москве состоится Форум аддитивного производства «Конвергентум 2025»</w:t>
      </w:r>
      <w:r>
        <w:rPr>
          <w:rFonts w:ascii="PT Astra Serif" w:hAnsi="PT Astra Serif" w:cs="PT Astra Serif"/>
          <w:b/>
          <w:bCs/>
          <w:i w:val="0"/>
          <w:sz w:val="28"/>
          <w:szCs w:val="28"/>
        </w:rPr>
      </w:r>
      <w:r>
        <w:rPr>
          <w:rFonts w:ascii="PT Astra Serif" w:hAnsi="PT Astra Serif" w:cs="PT Astra Serif"/>
          <w:b/>
          <w:bCs w:val="0"/>
          <w:i w:val="0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b/>
          <w:bCs/>
          <w:i w:val="0"/>
          <w:iCs w:val="0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  <w:t xml:space="preserve">Мероприятие пройдет 2-3 сентября 2025 года в инновационном кластере «Ломоносов» (Москва, Раменский бульвар).</w:t>
      </w:r>
      <w:r>
        <w:rPr>
          <w:rFonts w:ascii="PT Astra Serif" w:hAnsi="PT Astra Serif" w:cs="PT Astra Serif"/>
          <w:b/>
          <w:bCs w:val="0"/>
          <w:i w:val="0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  <w:t xml:space="preserve">Организатором «Конвергентума 2025» является Клуб аддитивных технологий. Форум проводится при поддержке Минпромторга России и является местом для взаимодействия бизнеса, государства и технологического сообщества в сфере аддитивных технологий. Специализирова</w:t>
      </w:r>
      <w:r>
        <w:rPr>
          <w:rFonts w:ascii="PT Astra Serif" w:hAnsi="PT Astra Serif" w:cs="PT Astra Serif"/>
          <w:sz w:val="28"/>
          <w:szCs w:val="28"/>
        </w:rPr>
        <w:t xml:space="preserve">нная отраслевая площадка объединит разработчиков оборудования, промышленные предприятия, научные центры, бизнес, инвесторов и государство для практического внедрения 3Д-печати.</w:t>
      </w:r>
      <w:r>
        <w:rPr>
          <w:rFonts w:ascii="PT Astra Serif" w:hAnsi="PT Astra Serif" w:cs="PT Astra Serif"/>
          <w:b/>
          <w:bCs w:val="0"/>
          <w:i w:val="0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/>
          <w:bCs w:val="0"/>
          <w:i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  <w:t xml:space="preserve">В программе планируется демонстрация готовых решений, обсуждение примеров интеграции аддитивных технологий в реальный сектор экономики, а также их конвергенция с нейросетями, БПЛА, робототехникой и цифровыми решениями. Это отличная возможность для выстраивания вектора</w:t>
      </w:r>
      <w:r>
        <w:rPr>
          <w:rFonts w:ascii="PT Astra Serif" w:hAnsi="PT Astra Serif" w:cs="PT Astra Serif"/>
          <w:sz w:val="28"/>
          <w:szCs w:val="28"/>
        </w:rPr>
        <w:t xml:space="preserve"> развития аддитивных технологий и создания аддитивных решений, ориентированных на прямые потребности региональных предприятий, обсуждение проблемных вопросов и консолидация усилий. </w:t>
      </w:r>
      <w:r>
        <w:rPr>
          <w:rFonts w:ascii="PT Astra Serif" w:hAnsi="PT Astra Serif" w:cs="PT Astra Serif"/>
          <w:sz w:val="28"/>
          <w:szCs w:val="28"/>
        </w:rPr>
        <w:t xml:space="preserve">Подробная информация на официальном сайте Форума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  <w:hyperlink r:id="rId14" w:tooltip="https://convergentum.ru/" w:history="1">
        <w:r>
          <w:rPr>
            <w:rStyle w:val="1060"/>
            <w:rFonts w:ascii="PT Astra Serif" w:hAnsi="PT Astra Serif" w:cs="PT Astra Serif"/>
            <w:sz w:val="28"/>
            <w:szCs w:val="28"/>
          </w:rPr>
          <w:t xml:space="preserve">https://convergentum.ru/</w:t>
        </w:r>
        <w:r>
          <w:rPr>
            <w:rStyle w:val="1060"/>
            <w:rFonts w:ascii="PT Astra Serif" w:hAnsi="PT Astra Serif" w:cs="PT Astra Serif"/>
            <w:sz w:val="28"/>
            <w:szCs w:val="28"/>
          </w:rPr>
        </w:r>
      </w:hyperlink>
      <w:r>
        <w:rPr>
          <w:rFonts w:ascii="PT Astra Serif" w:hAnsi="PT Astra Serif" w:cs="PT Astra Serif"/>
          <w:sz w:val="28"/>
          <w:szCs w:val="28"/>
        </w:rPr>
        <w:t xml:space="preserve"> .</w:t>
      </w:r>
      <w:r>
        <w:rPr>
          <w:rFonts w:ascii="PT Astra Serif" w:hAnsi="PT Astra Serif" w:cs="PT Astra Serif"/>
          <w:b/>
          <w:bCs w:val="0"/>
          <w:i w:val="0"/>
          <w:sz w:val="28"/>
          <w:szCs w:val="28"/>
        </w:rPr>
      </w:r>
      <w:r>
        <w:rPr>
          <w:rFonts w:ascii="PT Astra Serif" w:hAnsi="PT Astra Serif" w:cs="PT Astra Serif"/>
          <w:b/>
          <w:bCs w:val="0"/>
          <w:i w:val="0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  <w:t xml:space="preserve">Новые технологии, цифровизация, роботизация и автоматизация предприятий</w:t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1 октября 2025 года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г. Челябинске с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остоится на региональный этап Конференции по применению новых промышленных технологий «Код индустрии» по направлению «Цифровизация, роботизация и автоматизация промышленных предприятий».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Деловая программа:</w:t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</w:p>
    <w:p>
      <w:pPr>
        <w:pStyle w:val="884"/>
        <w:numPr>
          <w:ilvl w:val="0"/>
          <w:numId w:val="85"/>
        </w:numPr>
        <w:ind w:right="0"/>
        <w:jc w:val="both"/>
        <w:shd w:val="clear" w:color="ffffff" w:fill="ffffff"/>
        <w:rPr>
          <w:rFonts w:ascii="PT Astra Serif" w:hAnsi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пленарное заседание с участием представителей органов государственной власти Российской Федерации;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884"/>
        <w:numPr>
          <w:ilvl w:val="0"/>
          <w:numId w:val="85"/>
        </w:numPr>
        <w:ind w:right="0"/>
        <w:jc w:val="both"/>
        <w:shd w:val="clear" w:color="ffffff" w:fill="ffffff"/>
        <w:rPr>
          <w:rFonts w:ascii="PT Astra Serif" w:hAnsi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отраслевые сессии с представителями институтов развития, государственных корпораций, технологичного бизнеса, ведущими экспертами и представителями крупнейших вузов России.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Также участники конференции могут продемонстрировать лучшие практики и высокотехнологичные проекты по направлениям «Роботизация», «Цифровизация», «Кибербезопасность», «Автоматизация», «Разработка новых материалов и технологий», «Кадры».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Условия участия и подробная программа регионального этапа Конференции </w:t>
      </w:r>
      <w:r>
        <w:rPr>
          <w:rFonts w:ascii="PT Astra Serif" w:hAnsi="PT Astra Serif" w:cs="PT Astra Serif"/>
          <w:sz w:val="28"/>
          <w:szCs w:val="28"/>
          <w:highlight w:val="none"/>
        </w:rPr>
      </w:r>
      <w:hyperlink r:id="rId15" w:tooltip="http://minpromtorg.udmurt.ru/news/1359" w:history="1">
        <w:r>
          <w:rPr>
            <w:rStyle w:val="1060"/>
            <w:rFonts w:ascii="PT Astra Serif" w:hAnsi="PT Astra Serif" w:cs="PT Astra Serif"/>
            <w:sz w:val="28"/>
            <w:szCs w:val="28"/>
            <w:highlight w:val="none"/>
          </w:rPr>
          <w:t xml:space="preserve">http://minpromtorg.udmurt.ru/news/1359</w:t>
        </w:r>
        <w:r>
          <w:rPr>
            <w:rStyle w:val="1060"/>
            <w:rFonts w:ascii="PT Astra Serif" w:hAnsi="PT Astra Serif" w:cs="PT Astra Serif"/>
            <w:sz w:val="28"/>
            <w:szCs w:val="28"/>
            <w:highlight w:val="none"/>
          </w:rPr>
        </w:r>
      </w:hyperlink>
      <w:r>
        <w:rPr>
          <w:rFonts w:ascii="PT Astra Serif" w:hAnsi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  <w:t xml:space="preserve">Приглашаем на Международный форум-выставку «Российский промышленник - 2025»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</w:r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Мероприятие состоится с 29 по 31 октября 2025 г. в Санкт-Петербурге. 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Ключевая тема Форума: «Индустриализация как фундамент национальных проектов».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В рамках деловой программы будут обсуждаться темы реализации национальных проектов по технологическому лидерству, включая создание прорывных решений, роботизацию, автоматизацию, выпуск инновационной продукции, развитие производственных цепочек, взаимодейст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вие промышленности, образования и науки, кадровое развитие, повышение производительности и устранение кадрового дефицита.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Также планируется проведение Международного муниципального Форума БРИКС.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  <w:t xml:space="preserve">Алкогольный рынок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У организаций и предпринимателей есть возможность получения лицензии на розничную продажу алкогольной продукции и на заготовку, хранение, переработку, реализацию лома черных и цветных металлов через единый портал государственных услуг (ЕПГУ).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Главные преимущества онлайн подачи заявления: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pStyle w:val="884"/>
        <w:numPr>
          <w:ilvl w:val="0"/>
          <w:numId w:val="83"/>
        </w:numPr>
        <w:ind w:right="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круглосуточная доступность;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pStyle w:val="884"/>
        <w:numPr>
          <w:ilvl w:val="0"/>
          <w:numId w:val="83"/>
        </w:numPr>
        <w:ind w:right="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отсутствие очередей;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pStyle w:val="884"/>
        <w:numPr>
          <w:ilvl w:val="0"/>
          <w:numId w:val="83"/>
        </w:numPr>
        <w:ind w:right="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наличие службы поддержки;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pStyle w:val="884"/>
        <w:numPr>
          <w:ilvl w:val="0"/>
          <w:numId w:val="83"/>
        </w:numPr>
        <w:ind w:right="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отсутствие необходимости тратить время на личный прием;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pStyle w:val="884"/>
        <w:numPr>
          <w:ilvl w:val="0"/>
          <w:numId w:val="83"/>
        </w:numPr>
        <w:ind w:right="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возможность направить заявление через любой компьютер, планшет, мобильный телефон.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Чтобы получить лицензию, достаточно отправить электронное заявление и необходимые документы через ЕПГУ: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pStyle w:val="884"/>
        <w:numPr>
          <w:ilvl w:val="0"/>
          <w:numId w:val="84"/>
        </w:numPr>
        <w:ind w:right="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Лицензирование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товаропроизводителями);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pStyle w:val="884"/>
        <w:numPr>
          <w:ilvl w:val="0"/>
          <w:numId w:val="84"/>
        </w:numPr>
        <w:ind w:right="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Лицензирование деятельности по заготовке, хранению, переработке и реализации лома черных металлов и цветных металлов.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t xml:space="preserve">В соответствии со статьей 52.1 Федерального закона от 31.07.2020 № 248-ФЗ «О государственном контроле (надзоре) и муниципальном контроле в Российской Федерации», обязательный профилактический визит в отношении контролируемых лиц, начавших пре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t xml:space="preserve">дпринимательскую деятельность отдельного вида, проводится не позднее шести месяцев с даты представления уведомления о начале деятельности.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pStyle w:val="884"/>
        <w:numPr>
          <w:ilvl w:val="0"/>
          <w:numId w:val="86"/>
        </w:numPr>
        <w:ind w:right="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Обязательный профилактический визит не предусматривает отказ контролируемого лица от его проведения;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pStyle w:val="884"/>
        <w:numPr>
          <w:ilvl w:val="0"/>
          <w:numId w:val="86"/>
        </w:numPr>
        <w:ind w:right="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Срок проведения обязательного профилактического визита не может превышать 10 рабочих дней;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pStyle w:val="884"/>
        <w:numPr>
          <w:ilvl w:val="0"/>
          <w:numId w:val="86"/>
        </w:numPr>
        <w:ind w:right="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По окончании проведения обязательного профилактического визита составляется акт;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pStyle w:val="884"/>
        <w:numPr>
          <w:ilvl w:val="0"/>
          <w:numId w:val="86"/>
        </w:numPr>
        <w:ind w:right="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Предписание об устранении выявленных нарушений выдается контролируемому лицу в случае, если нарушения не устранены до окончания профилактического визита.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right="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right="0"/>
        <w:jc w:val="both"/>
        <w:rPr>
          <w:b/>
          <w:bCs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t xml:space="preserve">Участникам оборота алкогольной продукции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b/>
          <w:bCs/>
        </w:rPr>
      </w:r>
    </w:p>
    <w:p>
      <w:pPr>
        <w:ind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С 8 августа у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 организаций и предпринимателей есть возможность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 задать интересующие вопросы специалистам Оператора-ЦРПТ «Честный знак» из товарной группы «Пиво». Еженедельно по пятницам в 10.00 по московскому времени будет работать открытый микрофон. Подключиться к нему можно по ссылке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hyperlink r:id="rId16" w:tooltip="https://my.mts-link.ru/j/95521243/99685936" w:history="1">
        <w:r>
          <w:rPr>
            <w:rStyle w:val="1060"/>
            <w:rFonts w:ascii="PT Astra Serif" w:hAnsi="PT Astra Serif" w:cs="PT Astra Serif"/>
            <w:sz w:val="28"/>
            <w:szCs w:val="28"/>
            <w:highlight w:val="none"/>
          </w:rPr>
          <w:t xml:space="preserve">https://my.mts-link.ru/j/95521243/99685936</w:t>
        </w:r>
      </w:hyperlink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. Это возможность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 не только получить консультацию специалиста, но и обменяться опытом с другими участниками оборота, в том числе по решению вопросов, возникающих в подготовке к новым обязательным требованиям.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sectPr>
      <w:footerReference w:type="even" r:id="rId9"/>
      <w:footerReference w:type="first" r:id="rId10"/>
      <w:footnotePr>
        <w:pos w:val="beneathText"/>
      </w:footnotePr>
      <w:endnotePr/>
      <w:type w:val="nextPage"/>
      <w:pgSz w:w="11905" w:h="16837" w:orient="portrait"/>
      <w:pgMar w:top="567" w:right="709" w:bottom="851" w:left="1701" w:header="425" w:footer="15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Cambria">
    <w:panose1 w:val="02040803050406030204"/>
  </w:font>
  <w:font w:name="Times New Roman">
    <w:panose1 w:val="02020603050405020304"/>
  </w:font>
  <w:font w:name="Calibri Light">
    <w:panose1 w:val="020F05020202040302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8"/>
      <w:rPr>
        <w:rStyle w:val="1086"/>
      </w:rPr>
      <w:framePr w:wrap="around" w:vAnchor="text" w:hAnchor="margin" w:xAlign="right" w:y="1"/>
    </w:pPr>
    <w:r>
      <w:rPr>
        <w:rStyle w:val="1086"/>
      </w:rPr>
      <w:fldChar w:fldCharType="begin"/>
    </w:r>
    <w:r>
      <w:rPr>
        <w:rStyle w:val="1086"/>
      </w:rPr>
      <w:instrText xml:space="preserve">PAGE  </w:instrText>
    </w:r>
    <w:r>
      <w:rPr>
        <w:rStyle w:val="1086"/>
      </w:rPr>
      <w:fldChar w:fldCharType="separate"/>
    </w:r>
    <w:r>
      <w:rPr>
        <w:rStyle w:val="1086"/>
      </w:rPr>
      <w:t xml:space="preserve">5</w:t>
    </w:r>
    <w:r>
      <w:rPr>
        <w:rStyle w:val="1086"/>
      </w:rPr>
      <w:fldChar w:fldCharType="end"/>
    </w:r>
    <w:r>
      <w:rPr>
        <w:rStyle w:val="1086"/>
      </w:rPr>
    </w:r>
    <w:r>
      <w:rPr>
        <w:rStyle w:val="1086"/>
      </w:rPr>
    </w:r>
  </w:p>
  <w:p>
    <w:pPr>
      <w:pStyle w:val="1078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1"/>
      <w:rPr>
        <w:vanish/>
        <w:color w:val="0000ff"/>
        <w:sz w:val="18"/>
        <w:szCs w:val="18"/>
      </w:rPr>
    </w:pPr>
    <w:r>
      <w:rPr>
        <w:vanish/>
        <w:color w:val="0000ff"/>
        <w:sz w:val="18"/>
        <w:szCs w:val="18"/>
      </w:rPr>
      <w:t xml:space="preserve">Ю.О. Емельянов</w:t>
    </w:r>
    <w:r>
      <w:rPr>
        <w:vanish/>
        <w:color w:val="0000ff"/>
        <w:sz w:val="18"/>
        <w:szCs w:val="18"/>
      </w:rPr>
    </w:r>
    <w:r>
      <w:rPr>
        <w:vanish/>
        <w:color w:val="0000ff"/>
        <w:sz w:val="18"/>
        <w:szCs w:val="18"/>
      </w:rPr>
    </w:r>
  </w:p>
  <w:p>
    <w:pPr>
      <w:pStyle w:val="1041"/>
      <w:rPr>
        <w:vanish/>
        <w:color w:val="0000ff"/>
        <w:sz w:val="18"/>
        <w:szCs w:val="18"/>
      </w:rPr>
    </w:pPr>
    <w:r>
      <w:rPr>
        <w:vanish/>
        <w:color w:val="0000ff"/>
        <w:sz w:val="18"/>
        <w:szCs w:val="18"/>
      </w:rPr>
      <w:t xml:space="preserve">т. (3412)-495-300, ф. 495-639</w:t>
    </w:r>
    <w:r>
      <w:rPr>
        <w:vanish/>
        <w:color w:val="0000ff"/>
        <w:sz w:val="18"/>
        <w:szCs w:val="18"/>
      </w:rPr>
    </w:r>
    <w:r>
      <w:rPr>
        <w:vanish/>
        <w:color w:val="0000ff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9" w:hanging="180"/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1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7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9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1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3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5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7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9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1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3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4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6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2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60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4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6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2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60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8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1"/>
  </w:num>
  <w:num w:numId="2">
    <w:abstractNumId w:val="18"/>
  </w:num>
  <w:num w:numId="3">
    <w:abstractNumId w:val="1"/>
  </w:num>
  <w:num w:numId="4">
    <w:abstractNumId w:val="12"/>
  </w:num>
  <w:num w:numId="5">
    <w:abstractNumId w:val="4"/>
  </w:num>
  <w:num w:numId="6">
    <w:abstractNumId w:val="22"/>
  </w:num>
  <w:num w:numId="7">
    <w:abstractNumId w:val="24"/>
  </w:num>
  <w:num w:numId="8">
    <w:abstractNumId w:val="9"/>
  </w:num>
  <w:num w:numId="9">
    <w:abstractNumId w:val="29"/>
  </w:num>
  <w:num w:numId="10">
    <w:abstractNumId w:val="0"/>
  </w:num>
  <w:num w:numId="11">
    <w:abstractNumId w:val="28"/>
  </w:num>
  <w:num w:numId="12">
    <w:abstractNumId w:val="21"/>
  </w:num>
  <w:num w:numId="13">
    <w:abstractNumId w:val="19"/>
  </w:num>
  <w:num w:numId="14">
    <w:abstractNumId w:val="20"/>
  </w:num>
  <w:num w:numId="15">
    <w:abstractNumId w:val="5"/>
  </w:num>
  <w:num w:numId="16">
    <w:abstractNumId w:val="15"/>
  </w:num>
  <w:num w:numId="17">
    <w:abstractNumId w:val="3"/>
  </w:num>
  <w:num w:numId="18">
    <w:abstractNumId w:val="11"/>
  </w:num>
  <w:num w:numId="19">
    <w:abstractNumId w:val="16"/>
  </w:num>
  <w:num w:numId="20">
    <w:abstractNumId w:val="33"/>
  </w:num>
  <w:num w:numId="21">
    <w:abstractNumId w:val="25"/>
  </w:num>
  <w:num w:numId="22">
    <w:abstractNumId w:val="30"/>
  </w:num>
  <w:num w:numId="23">
    <w:abstractNumId w:val="26"/>
  </w:num>
  <w:num w:numId="24">
    <w:abstractNumId w:val="17"/>
  </w:num>
  <w:num w:numId="25">
    <w:abstractNumId w:val="32"/>
  </w:num>
  <w:num w:numId="26">
    <w:abstractNumId w:val="8"/>
  </w:num>
  <w:num w:numId="27">
    <w:abstractNumId w:val="14"/>
  </w:num>
  <w:num w:numId="28">
    <w:abstractNumId w:val="2"/>
  </w:num>
  <w:num w:numId="29">
    <w:abstractNumId w:val="7"/>
  </w:num>
  <w:num w:numId="30">
    <w:abstractNumId w:val="13"/>
  </w:num>
  <w:num w:numId="31">
    <w:abstractNumId w:val="10"/>
  </w:num>
  <w:num w:numId="32">
    <w:abstractNumId w:val="35"/>
  </w:num>
  <w:num w:numId="33">
    <w:abstractNumId w:val="6"/>
  </w:num>
  <w:num w:numId="34">
    <w:abstractNumId w:val="23"/>
  </w:num>
  <w:num w:numId="35">
    <w:abstractNumId w:val="34"/>
  </w:num>
  <w:num w:numId="36">
    <w:abstractNumId w:val="27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66">
    <w:name w:val="Heading 1"/>
    <w:basedOn w:val="1041"/>
    <w:next w:val="1041"/>
    <w:link w:val="8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67">
    <w:name w:val="Heading 1 Char"/>
    <w:link w:val="866"/>
    <w:uiPriority w:val="9"/>
    <w:rPr>
      <w:rFonts w:ascii="Arial" w:hAnsi="Arial" w:eastAsia="Arial" w:cs="Arial"/>
      <w:sz w:val="40"/>
      <w:szCs w:val="40"/>
    </w:rPr>
  </w:style>
  <w:style w:type="paragraph" w:styleId="868">
    <w:name w:val="Heading 2"/>
    <w:basedOn w:val="1041"/>
    <w:next w:val="1041"/>
    <w:link w:val="8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69">
    <w:name w:val="Heading 2 Char"/>
    <w:link w:val="868"/>
    <w:uiPriority w:val="9"/>
    <w:rPr>
      <w:rFonts w:ascii="Arial" w:hAnsi="Arial" w:eastAsia="Arial" w:cs="Arial"/>
      <w:sz w:val="34"/>
    </w:rPr>
  </w:style>
  <w:style w:type="paragraph" w:styleId="870">
    <w:name w:val="Heading 3"/>
    <w:basedOn w:val="1041"/>
    <w:next w:val="1041"/>
    <w:link w:val="8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71">
    <w:name w:val="Heading 3 Char"/>
    <w:link w:val="870"/>
    <w:uiPriority w:val="9"/>
    <w:rPr>
      <w:rFonts w:ascii="Arial" w:hAnsi="Arial" w:eastAsia="Arial" w:cs="Arial"/>
      <w:sz w:val="30"/>
      <w:szCs w:val="30"/>
    </w:rPr>
  </w:style>
  <w:style w:type="paragraph" w:styleId="872">
    <w:name w:val="Heading 4"/>
    <w:basedOn w:val="1041"/>
    <w:next w:val="1041"/>
    <w:link w:val="8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3">
    <w:name w:val="Heading 4 Char"/>
    <w:link w:val="872"/>
    <w:uiPriority w:val="9"/>
    <w:rPr>
      <w:rFonts w:ascii="Arial" w:hAnsi="Arial" w:eastAsia="Arial" w:cs="Arial"/>
      <w:b/>
      <w:bCs/>
      <w:sz w:val="26"/>
      <w:szCs w:val="26"/>
    </w:rPr>
  </w:style>
  <w:style w:type="paragraph" w:styleId="874">
    <w:name w:val="Heading 5"/>
    <w:basedOn w:val="1041"/>
    <w:next w:val="1041"/>
    <w:link w:val="8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75">
    <w:name w:val="Heading 5 Char"/>
    <w:link w:val="874"/>
    <w:uiPriority w:val="9"/>
    <w:rPr>
      <w:rFonts w:ascii="Arial" w:hAnsi="Arial" w:eastAsia="Arial" w:cs="Arial"/>
      <w:b/>
      <w:bCs/>
      <w:sz w:val="24"/>
      <w:szCs w:val="24"/>
    </w:rPr>
  </w:style>
  <w:style w:type="paragraph" w:styleId="876">
    <w:name w:val="Heading 6"/>
    <w:basedOn w:val="1041"/>
    <w:next w:val="1041"/>
    <w:link w:val="8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77">
    <w:name w:val="Heading 6 Char"/>
    <w:link w:val="876"/>
    <w:uiPriority w:val="9"/>
    <w:rPr>
      <w:rFonts w:ascii="Arial" w:hAnsi="Arial" w:eastAsia="Arial" w:cs="Arial"/>
      <w:b/>
      <w:bCs/>
      <w:sz w:val="22"/>
      <w:szCs w:val="22"/>
    </w:rPr>
  </w:style>
  <w:style w:type="paragraph" w:styleId="878">
    <w:name w:val="Heading 7"/>
    <w:basedOn w:val="1041"/>
    <w:next w:val="1041"/>
    <w:link w:val="8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9">
    <w:name w:val="Heading 7 Char"/>
    <w:link w:val="8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80">
    <w:name w:val="Heading 8"/>
    <w:basedOn w:val="1041"/>
    <w:next w:val="1041"/>
    <w:link w:val="8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1">
    <w:name w:val="Heading 8 Char"/>
    <w:link w:val="880"/>
    <w:uiPriority w:val="9"/>
    <w:rPr>
      <w:rFonts w:ascii="Arial" w:hAnsi="Arial" w:eastAsia="Arial" w:cs="Arial"/>
      <w:i/>
      <w:iCs/>
      <w:sz w:val="22"/>
      <w:szCs w:val="22"/>
    </w:rPr>
  </w:style>
  <w:style w:type="paragraph" w:styleId="882">
    <w:name w:val="Heading 9"/>
    <w:basedOn w:val="1041"/>
    <w:next w:val="1041"/>
    <w:link w:val="8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3">
    <w:name w:val="Heading 9 Char"/>
    <w:link w:val="882"/>
    <w:uiPriority w:val="9"/>
    <w:rPr>
      <w:rFonts w:ascii="Arial" w:hAnsi="Arial" w:eastAsia="Arial" w:cs="Arial"/>
      <w:i/>
      <w:iCs/>
      <w:sz w:val="21"/>
      <w:szCs w:val="21"/>
    </w:rPr>
  </w:style>
  <w:style w:type="paragraph" w:styleId="884">
    <w:name w:val="List Paragraph"/>
    <w:basedOn w:val="1041"/>
    <w:uiPriority w:val="34"/>
    <w:qFormat/>
    <w:pPr>
      <w:contextualSpacing/>
      <w:ind w:left="720"/>
    </w:pPr>
  </w:style>
  <w:style w:type="paragraph" w:styleId="885">
    <w:name w:val="No Spacing"/>
    <w:uiPriority w:val="1"/>
    <w:qFormat/>
    <w:pPr>
      <w:spacing w:before="0" w:after="0" w:line="240" w:lineRule="auto"/>
    </w:pPr>
  </w:style>
  <w:style w:type="character" w:styleId="886">
    <w:name w:val="Title Char"/>
    <w:link w:val="1115"/>
    <w:uiPriority w:val="10"/>
    <w:rPr>
      <w:sz w:val="48"/>
      <w:szCs w:val="48"/>
    </w:rPr>
  </w:style>
  <w:style w:type="paragraph" w:styleId="887">
    <w:name w:val="Subtitle"/>
    <w:basedOn w:val="1041"/>
    <w:next w:val="1041"/>
    <w:link w:val="888"/>
    <w:uiPriority w:val="11"/>
    <w:qFormat/>
    <w:pPr>
      <w:spacing w:before="200" w:after="200"/>
    </w:pPr>
    <w:rPr>
      <w:sz w:val="24"/>
      <w:szCs w:val="24"/>
    </w:rPr>
  </w:style>
  <w:style w:type="character" w:styleId="888">
    <w:name w:val="Subtitle Char"/>
    <w:link w:val="887"/>
    <w:uiPriority w:val="11"/>
    <w:rPr>
      <w:sz w:val="24"/>
      <w:szCs w:val="24"/>
    </w:rPr>
  </w:style>
  <w:style w:type="paragraph" w:styleId="889">
    <w:name w:val="Quote"/>
    <w:basedOn w:val="1041"/>
    <w:next w:val="1041"/>
    <w:link w:val="890"/>
    <w:uiPriority w:val="29"/>
    <w:qFormat/>
    <w:pPr>
      <w:ind w:left="720" w:right="720"/>
    </w:pPr>
    <w:rPr>
      <w:i/>
    </w:rPr>
  </w:style>
  <w:style w:type="character" w:styleId="890">
    <w:name w:val="Quote Char"/>
    <w:link w:val="889"/>
    <w:uiPriority w:val="29"/>
    <w:rPr>
      <w:i/>
    </w:rPr>
  </w:style>
  <w:style w:type="paragraph" w:styleId="891">
    <w:name w:val="Intense Quote"/>
    <w:basedOn w:val="1041"/>
    <w:next w:val="1041"/>
    <w:link w:val="8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92">
    <w:name w:val="Intense Quote Char"/>
    <w:link w:val="891"/>
    <w:uiPriority w:val="30"/>
    <w:rPr>
      <w:i/>
    </w:rPr>
  </w:style>
  <w:style w:type="character" w:styleId="893">
    <w:name w:val="Header Char"/>
    <w:link w:val="1114"/>
    <w:uiPriority w:val="99"/>
  </w:style>
  <w:style w:type="paragraph" w:styleId="894">
    <w:name w:val="Footer"/>
    <w:basedOn w:val="1041"/>
    <w:link w:val="8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95">
    <w:name w:val="Footer Char"/>
    <w:link w:val="894"/>
    <w:uiPriority w:val="99"/>
  </w:style>
  <w:style w:type="character" w:styleId="896">
    <w:name w:val="Caption Char"/>
    <w:basedOn w:val="1119"/>
    <w:link w:val="894"/>
    <w:uiPriority w:val="99"/>
  </w:style>
  <w:style w:type="table" w:styleId="89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0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0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2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2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2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2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3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3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3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3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3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3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3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3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3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3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4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4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4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6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6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6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6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6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6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6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8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9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9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9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9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9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9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9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9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9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9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0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0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0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0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0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0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0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0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0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0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1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1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1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1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1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1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1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1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1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1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2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2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2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23">
    <w:name w:val="Hyperlink"/>
    <w:uiPriority w:val="99"/>
    <w:unhideWhenUsed/>
    <w:rPr>
      <w:color w:val="0000ff" w:themeColor="hyperlink"/>
      <w:u w:val="single"/>
    </w:rPr>
  </w:style>
  <w:style w:type="paragraph" w:styleId="1024">
    <w:name w:val="footnote text"/>
    <w:basedOn w:val="1041"/>
    <w:link w:val="1025"/>
    <w:uiPriority w:val="99"/>
    <w:semiHidden/>
    <w:unhideWhenUsed/>
    <w:pPr>
      <w:spacing w:after="40" w:line="240" w:lineRule="auto"/>
    </w:pPr>
    <w:rPr>
      <w:sz w:val="18"/>
    </w:rPr>
  </w:style>
  <w:style w:type="character" w:styleId="1025">
    <w:name w:val="Footnote Text Char"/>
    <w:link w:val="1024"/>
    <w:uiPriority w:val="99"/>
    <w:rPr>
      <w:sz w:val="18"/>
    </w:rPr>
  </w:style>
  <w:style w:type="character" w:styleId="1026">
    <w:name w:val="footnote reference"/>
    <w:uiPriority w:val="99"/>
    <w:unhideWhenUsed/>
    <w:rPr>
      <w:vertAlign w:val="superscript"/>
    </w:rPr>
  </w:style>
  <w:style w:type="paragraph" w:styleId="1027">
    <w:name w:val="endnote text"/>
    <w:basedOn w:val="1041"/>
    <w:link w:val="1028"/>
    <w:uiPriority w:val="99"/>
    <w:semiHidden/>
    <w:unhideWhenUsed/>
    <w:pPr>
      <w:spacing w:after="0" w:line="240" w:lineRule="auto"/>
    </w:pPr>
    <w:rPr>
      <w:sz w:val="20"/>
    </w:rPr>
  </w:style>
  <w:style w:type="character" w:styleId="1028">
    <w:name w:val="Endnote Text Char"/>
    <w:link w:val="1027"/>
    <w:uiPriority w:val="99"/>
    <w:rPr>
      <w:sz w:val="20"/>
    </w:rPr>
  </w:style>
  <w:style w:type="character" w:styleId="1029">
    <w:name w:val="endnote reference"/>
    <w:uiPriority w:val="99"/>
    <w:semiHidden/>
    <w:unhideWhenUsed/>
    <w:rPr>
      <w:vertAlign w:val="superscript"/>
    </w:rPr>
  </w:style>
  <w:style w:type="paragraph" w:styleId="1030">
    <w:name w:val="toc 1"/>
    <w:basedOn w:val="1041"/>
    <w:next w:val="1041"/>
    <w:uiPriority w:val="39"/>
    <w:unhideWhenUsed/>
    <w:pPr>
      <w:ind w:left="0" w:right="0" w:firstLine="0"/>
      <w:spacing w:after="57"/>
    </w:pPr>
  </w:style>
  <w:style w:type="paragraph" w:styleId="1031">
    <w:name w:val="toc 2"/>
    <w:basedOn w:val="1041"/>
    <w:next w:val="1041"/>
    <w:uiPriority w:val="39"/>
    <w:unhideWhenUsed/>
    <w:pPr>
      <w:ind w:left="283" w:right="0" w:firstLine="0"/>
      <w:spacing w:after="57"/>
    </w:pPr>
  </w:style>
  <w:style w:type="paragraph" w:styleId="1032">
    <w:name w:val="toc 3"/>
    <w:basedOn w:val="1041"/>
    <w:next w:val="1041"/>
    <w:uiPriority w:val="39"/>
    <w:unhideWhenUsed/>
    <w:pPr>
      <w:ind w:left="567" w:right="0" w:firstLine="0"/>
      <w:spacing w:after="57"/>
    </w:pPr>
  </w:style>
  <w:style w:type="paragraph" w:styleId="1033">
    <w:name w:val="toc 4"/>
    <w:basedOn w:val="1041"/>
    <w:next w:val="1041"/>
    <w:uiPriority w:val="39"/>
    <w:unhideWhenUsed/>
    <w:pPr>
      <w:ind w:left="850" w:right="0" w:firstLine="0"/>
      <w:spacing w:after="57"/>
    </w:pPr>
  </w:style>
  <w:style w:type="paragraph" w:styleId="1034">
    <w:name w:val="toc 5"/>
    <w:basedOn w:val="1041"/>
    <w:next w:val="1041"/>
    <w:uiPriority w:val="39"/>
    <w:unhideWhenUsed/>
    <w:pPr>
      <w:ind w:left="1134" w:right="0" w:firstLine="0"/>
      <w:spacing w:after="57"/>
    </w:pPr>
  </w:style>
  <w:style w:type="paragraph" w:styleId="1035">
    <w:name w:val="toc 6"/>
    <w:basedOn w:val="1041"/>
    <w:next w:val="1041"/>
    <w:uiPriority w:val="39"/>
    <w:unhideWhenUsed/>
    <w:pPr>
      <w:ind w:left="1417" w:right="0" w:firstLine="0"/>
      <w:spacing w:after="57"/>
    </w:pPr>
  </w:style>
  <w:style w:type="paragraph" w:styleId="1036">
    <w:name w:val="toc 7"/>
    <w:basedOn w:val="1041"/>
    <w:next w:val="1041"/>
    <w:uiPriority w:val="39"/>
    <w:unhideWhenUsed/>
    <w:pPr>
      <w:ind w:left="1701" w:right="0" w:firstLine="0"/>
      <w:spacing w:after="57"/>
    </w:pPr>
  </w:style>
  <w:style w:type="paragraph" w:styleId="1037">
    <w:name w:val="toc 8"/>
    <w:basedOn w:val="1041"/>
    <w:next w:val="1041"/>
    <w:uiPriority w:val="39"/>
    <w:unhideWhenUsed/>
    <w:pPr>
      <w:ind w:left="1984" w:right="0" w:firstLine="0"/>
      <w:spacing w:after="57"/>
    </w:pPr>
  </w:style>
  <w:style w:type="paragraph" w:styleId="1038">
    <w:name w:val="toc 9"/>
    <w:basedOn w:val="1041"/>
    <w:next w:val="1041"/>
    <w:uiPriority w:val="39"/>
    <w:unhideWhenUsed/>
    <w:pPr>
      <w:ind w:left="2268" w:right="0" w:firstLine="0"/>
      <w:spacing w:after="57"/>
    </w:pPr>
  </w:style>
  <w:style w:type="paragraph" w:styleId="1039">
    <w:name w:val="TOC Heading"/>
    <w:uiPriority w:val="39"/>
    <w:unhideWhenUsed/>
  </w:style>
  <w:style w:type="paragraph" w:styleId="1040">
    <w:name w:val="table of figures"/>
    <w:basedOn w:val="1041"/>
    <w:next w:val="1041"/>
    <w:uiPriority w:val="99"/>
    <w:unhideWhenUsed/>
    <w:pPr>
      <w:spacing w:after="0" w:afterAutospacing="0"/>
    </w:pPr>
  </w:style>
  <w:style w:type="paragraph" w:styleId="1041" w:default="1">
    <w:name w:val="Normal"/>
    <w:next w:val="1041"/>
    <w:link w:val="1041"/>
    <w:qFormat/>
    <w:rPr>
      <w:lang w:val="ru-RU" w:eastAsia="ar-SA" w:bidi="ar-SA"/>
    </w:rPr>
  </w:style>
  <w:style w:type="paragraph" w:styleId="1042">
    <w:name w:val="Заголовок 1"/>
    <w:basedOn w:val="1041"/>
    <w:next w:val="1041"/>
    <w:link w:val="1109"/>
    <w:uiPriority w:val="9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1043">
    <w:name w:val="Заголовок 2"/>
    <w:basedOn w:val="1041"/>
    <w:next w:val="1043"/>
    <w:link w:val="1107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1044">
    <w:name w:val="Заголовок 3"/>
    <w:basedOn w:val="1041"/>
    <w:next w:val="1041"/>
    <w:link w:val="1112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1045">
    <w:name w:val="Заголовок 4"/>
    <w:basedOn w:val="1041"/>
    <w:next w:val="1041"/>
    <w:link w:val="1111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1046">
    <w:name w:val="Основной шрифт абзаца"/>
    <w:next w:val="1046"/>
    <w:link w:val="1041"/>
    <w:semiHidden/>
  </w:style>
  <w:style w:type="table" w:styleId="1047">
    <w:name w:val="Обычная таблица"/>
    <w:next w:val="1047"/>
    <w:link w:val="1041"/>
    <w:uiPriority w:val="99"/>
    <w:semiHidden/>
    <w:unhideWhenUsed/>
    <w:tblPr/>
  </w:style>
  <w:style w:type="numbering" w:styleId="1048">
    <w:name w:val="Нет списка"/>
    <w:next w:val="1048"/>
    <w:link w:val="1041"/>
    <w:uiPriority w:val="99"/>
    <w:semiHidden/>
    <w:unhideWhenUsed/>
  </w:style>
  <w:style w:type="character" w:styleId="1049">
    <w:name w:val="Основной шрифт абзаца6"/>
    <w:next w:val="1049"/>
    <w:link w:val="1041"/>
  </w:style>
  <w:style w:type="character" w:styleId="1050">
    <w:name w:val="Основной шрифт абзаца5"/>
    <w:next w:val="1050"/>
    <w:link w:val="1041"/>
  </w:style>
  <w:style w:type="character" w:styleId="1051">
    <w:name w:val="Основной шрифт абзаца4"/>
    <w:next w:val="1051"/>
    <w:link w:val="1041"/>
  </w:style>
  <w:style w:type="character" w:styleId="1052">
    <w:name w:val="Absatz-Standardschriftart"/>
    <w:next w:val="1052"/>
    <w:link w:val="1041"/>
  </w:style>
  <w:style w:type="character" w:styleId="1053">
    <w:name w:val="WW-Absatz-Standardschriftart"/>
    <w:next w:val="1053"/>
    <w:link w:val="1041"/>
  </w:style>
  <w:style w:type="character" w:styleId="1054">
    <w:name w:val="Основной шрифт абзаца3"/>
    <w:next w:val="1054"/>
    <w:link w:val="1041"/>
  </w:style>
  <w:style w:type="character" w:styleId="1055">
    <w:name w:val="WW-Absatz-Standardschriftart1"/>
    <w:next w:val="1055"/>
    <w:link w:val="1041"/>
  </w:style>
  <w:style w:type="character" w:styleId="1056">
    <w:name w:val="Основной шрифт абзаца2"/>
    <w:next w:val="1056"/>
    <w:link w:val="1041"/>
  </w:style>
  <w:style w:type="character" w:styleId="1057">
    <w:name w:val="WW-Absatz-Standardschriftart11"/>
    <w:next w:val="1057"/>
    <w:link w:val="1041"/>
  </w:style>
  <w:style w:type="character" w:styleId="1058">
    <w:name w:val="Основной шрифт абзаца1"/>
    <w:next w:val="1058"/>
    <w:link w:val="1041"/>
  </w:style>
  <w:style w:type="character" w:styleId="1059">
    <w:name w:val="Îñíîâíîé øðèôò"/>
    <w:next w:val="1059"/>
    <w:link w:val="1041"/>
  </w:style>
  <w:style w:type="character" w:styleId="1060">
    <w:name w:val="Гиперссылка"/>
    <w:next w:val="1060"/>
    <w:link w:val="1041"/>
    <w:uiPriority w:val="99"/>
    <w:semiHidden/>
    <w:rPr>
      <w:color w:val="0000ff"/>
      <w:u w:val="single"/>
    </w:rPr>
  </w:style>
  <w:style w:type="character" w:styleId="1061">
    <w:name w:val="Просмотренная гиперссылка"/>
    <w:next w:val="1061"/>
    <w:link w:val="1041"/>
    <w:semiHidden/>
    <w:rPr>
      <w:color w:val="800080"/>
      <w:u w:val="single"/>
    </w:rPr>
  </w:style>
  <w:style w:type="paragraph" w:styleId="1062">
    <w:name w:val="Заголовок"/>
    <w:basedOn w:val="1041"/>
    <w:next w:val="1063"/>
    <w:link w:val="1041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063">
    <w:name w:val="Основной текст"/>
    <w:basedOn w:val="1041"/>
    <w:next w:val="1063"/>
    <w:link w:val="1041"/>
    <w:semiHidden/>
    <w:rPr>
      <w:sz w:val="28"/>
    </w:rPr>
  </w:style>
  <w:style w:type="paragraph" w:styleId="1064">
    <w:name w:val="Список"/>
    <w:basedOn w:val="1063"/>
    <w:next w:val="1064"/>
    <w:link w:val="1041"/>
    <w:semiHidden/>
    <w:rPr>
      <w:rFonts w:ascii="Arial" w:hAnsi="Arial" w:cs="Tahoma"/>
    </w:rPr>
  </w:style>
  <w:style w:type="paragraph" w:styleId="1065">
    <w:name w:val="Название6"/>
    <w:basedOn w:val="1041"/>
    <w:next w:val="1065"/>
    <w:link w:val="1041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66">
    <w:name w:val="Указатель6"/>
    <w:basedOn w:val="1041"/>
    <w:next w:val="1066"/>
    <w:link w:val="1041"/>
    <w:pPr>
      <w:suppressLineNumbers/>
    </w:pPr>
    <w:rPr>
      <w:rFonts w:ascii="Arial" w:hAnsi="Arial" w:cs="Tahoma"/>
    </w:rPr>
  </w:style>
  <w:style w:type="paragraph" w:styleId="1067">
    <w:name w:val="Название5"/>
    <w:basedOn w:val="1041"/>
    <w:next w:val="1067"/>
    <w:link w:val="1041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68">
    <w:name w:val="Указатель5"/>
    <w:basedOn w:val="1041"/>
    <w:next w:val="1068"/>
    <w:link w:val="1041"/>
    <w:pPr>
      <w:suppressLineNumbers/>
    </w:pPr>
    <w:rPr>
      <w:rFonts w:ascii="Arial" w:hAnsi="Arial" w:cs="Tahoma"/>
    </w:rPr>
  </w:style>
  <w:style w:type="paragraph" w:styleId="1069">
    <w:name w:val="Название4"/>
    <w:basedOn w:val="1041"/>
    <w:next w:val="1069"/>
    <w:link w:val="1041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70">
    <w:name w:val="Указатель4"/>
    <w:basedOn w:val="1041"/>
    <w:next w:val="1070"/>
    <w:link w:val="1041"/>
    <w:pPr>
      <w:suppressLineNumbers/>
    </w:pPr>
    <w:rPr>
      <w:rFonts w:ascii="Arial" w:hAnsi="Arial" w:cs="Tahoma"/>
    </w:rPr>
  </w:style>
  <w:style w:type="paragraph" w:styleId="1071">
    <w:name w:val="Название3"/>
    <w:basedOn w:val="1041"/>
    <w:next w:val="1071"/>
    <w:link w:val="1041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72">
    <w:name w:val="Указатель3"/>
    <w:basedOn w:val="1041"/>
    <w:next w:val="1072"/>
    <w:link w:val="1041"/>
    <w:pPr>
      <w:suppressLineNumbers/>
    </w:pPr>
    <w:rPr>
      <w:rFonts w:ascii="Arial" w:hAnsi="Arial" w:cs="Tahoma"/>
    </w:rPr>
  </w:style>
  <w:style w:type="paragraph" w:styleId="1073">
    <w:name w:val="Название2"/>
    <w:basedOn w:val="1041"/>
    <w:next w:val="1073"/>
    <w:link w:val="1041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74">
    <w:name w:val="Указатель2"/>
    <w:basedOn w:val="1041"/>
    <w:next w:val="1074"/>
    <w:link w:val="1041"/>
    <w:pPr>
      <w:suppressLineNumbers/>
    </w:pPr>
    <w:rPr>
      <w:rFonts w:ascii="Arial" w:hAnsi="Arial" w:cs="Tahoma"/>
    </w:rPr>
  </w:style>
  <w:style w:type="paragraph" w:styleId="1075">
    <w:name w:val="Название1"/>
    <w:basedOn w:val="1041"/>
    <w:next w:val="1075"/>
    <w:link w:val="1041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76">
    <w:name w:val="Указатель1"/>
    <w:basedOn w:val="1041"/>
    <w:next w:val="1076"/>
    <w:link w:val="1041"/>
    <w:pPr>
      <w:suppressLineNumbers/>
    </w:pPr>
    <w:rPr>
      <w:rFonts w:ascii="Arial" w:hAnsi="Arial" w:cs="Tahoma"/>
    </w:rPr>
  </w:style>
  <w:style w:type="paragraph" w:styleId="1077">
    <w:name w:val="Верхний колонтитул"/>
    <w:basedOn w:val="1041"/>
    <w:next w:val="1077"/>
    <w:link w:val="1084"/>
    <w:pPr>
      <w:tabs>
        <w:tab w:val="center" w:pos="4153" w:leader="none"/>
        <w:tab w:val="right" w:pos="8306" w:leader="none"/>
      </w:tabs>
    </w:pPr>
    <w:rPr>
      <w:lang w:val="en-US"/>
    </w:rPr>
  </w:style>
  <w:style w:type="paragraph" w:styleId="1078">
    <w:name w:val="Нижний колонтитул"/>
    <w:basedOn w:val="1041"/>
    <w:next w:val="1078"/>
    <w:link w:val="1085"/>
    <w:pPr>
      <w:tabs>
        <w:tab w:val="center" w:pos="4153" w:leader="none"/>
        <w:tab w:val="right" w:pos="8306" w:leader="none"/>
      </w:tabs>
    </w:pPr>
    <w:rPr>
      <w:lang w:val="en-US"/>
    </w:rPr>
  </w:style>
  <w:style w:type="paragraph" w:styleId="1079">
    <w:name w:val="Текст выноски"/>
    <w:basedOn w:val="1041"/>
    <w:next w:val="1079"/>
    <w:link w:val="1041"/>
    <w:rPr>
      <w:rFonts w:ascii="Tahoma" w:hAnsi="Tahoma" w:cs="Tahoma"/>
      <w:sz w:val="16"/>
      <w:szCs w:val="16"/>
    </w:rPr>
  </w:style>
  <w:style w:type="paragraph" w:styleId="1080">
    <w:name w:val="Содержимое таблицы"/>
    <w:basedOn w:val="1041"/>
    <w:next w:val="1080"/>
    <w:link w:val="1041"/>
    <w:pPr>
      <w:suppressLineNumbers/>
    </w:pPr>
  </w:style>
  <w:style w:type="paragraph" w:styleId="1081">
    <w:name w:val="Заголовок таблицы"/>
    <w:basedOn w:val="1080"/>
    <w:next w:val="1081"/>
    <w:link w:val="1041"/>
    <w:pPr>
      <w:jc w:val="center"/>
      <w:suppressLineNumbers/>
    </w:pPr>
    <w:rPr>
      <w:b/>
      <w:bCs/>
    </w:rPr>
  </w:style>
  <w:style w:type="paragraph" w:styleId="1082">
    <w:name w:val="Содержимое врезки"/>
    <w:basedOn w:val="1063"/>
    <w:next w:val="1082"/>
    <w:link w:val="1041"/>
  </w:style>
  <w:style w:type="table" w:styleId="1083">
    <w:name w:val="Сетка таблицы"/>
    <w:basedOn w:val="1047"/>
    <w:next w:val="1083"/>
    <w:link w:val="1041"/>
    <w:tblPr/>
  </w:style>
  <w:style w:type="character" w:styleId="1084">
    <w:name w:val="Верхний колонтитул Знак"/>
    <w:next w:val="1084"/>
    <w:link w:val="1077"/>
    <w:rPr>
      <w:lang w:eastAsia="ar-SA"/>
    </w:rPr>
  </w:style>
  <w:style w:type="character" w:styleId="1085">
    <w:name w:val="Нижний колонтитул Знак"/>
    <w:next w:val="1085"/>
    <w:link w:val="1078"/>
    <w:rPr>
      <w:lang w:eastAsia="ar-SA"/>
    </w:rPr>
  </w:style>
  <w:style w:type="character" w:styleId="1086">
    <w:name w:val="Номер страницы"/>
    <w:basedOn w:val="1046"/>
    <w:next w:val="1086"/>
    <w:link w:val="1041"/>
  </w:style>
  <w:style w:type="character" w:styleId="1087">
    <w:name w:val="Основной текст + 16,5 pt2,Курсив1,Основной текст + 10"/>
    <w:next w:val="1087"/>
    <w:link w:val="1041"/>
    <w:rPr>
      <w:rFonts w:ascii="Times New Roman" w:hAnsi="Times New Roman" w:cs="Times New Roman"/>
      <w:i/>
      <w:iCs/>
      <w:sz w:val="33"/>
      <w:szCs w:val="33"/>
      <w:u w:val="single"/>
      <w:lang w:bidi="ar-SA"/>
    </w:rPr>
  </w:style>
  <w:style w:type="character" w:styleId="1088">
    <w:name w:val="Основной текст (3)_"/>
    <w:next w:val="1088"/>
    <w:link w:val="1089"/>
    <w:rPr>
      <w:sz w:val="22"/>
      <w:szCs w:val="22"/>
      <w:shd w:val="clear" w:color="auto" w:fill="ffffff"/>
    </w:rPr>
  </w:style>
  <w:style w:type="paragraph" w:styleId="1089">
    <w:name w:val="Основной текст (3)"/>
    <w:basedOn w:val="1041"/>
    <w:next w:val="1089"/>
    <w:link w:val="1088"/>
    <w:pPr>
      <w:spacing w:before="960" w:after="960" w:line="274" w:lineRule="exact"/>
      <w:shd w:val="clear" w:color="auto" w:fill="ffffff"/>
      <w:widowControl w:val="off"/>
    </w:pPr>
    <w:rPr>
      <w:sz w:val="22"/>
      <w:szCs w:val="22"/>
      <w:lang w:val="en-US" w:eastAsia="en-US"/>
    </w:rPr>
  </w:style>
  <w:style w:type="paragraph" w:styleId="1090">
    <w:name w:val="Без интервала"/>
    <w:next w:val="1090"/>
    <w:link w:val="1041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1091">
    <w:name w:val="Font Style13"/>
    <w:next w:val="1091"/>
    <w:link w:val="1041"/>
    <w:rPr>
      <w:rFonts w:ascii="Times New Roman" w:hAnsi="Times New Roman" w:cs="Times New Roman"/>
      <w:sz w:val="26"/>
      <w:szCs w:val="26"/>
    </w:rPr>
  </w:style>
  <w:style w:type="paragraph" w:styleId="1092">
    <w:name w:val="Обычный (веб)"/>
    <w:basedOn w:val="1041"/>
    <w:next w:val="1092"/>
    <w:link w:val="1041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093">
    <w:name w:val="apple-converted-space"/>
    <w:next w:val="1093"/>
    <w:link w:val="1041"/>
  </w:style>
  <w:style w:type="character" w:styleId="1094">
    <w:name w:val="Font Style18"/>
    <w:next w:val="1094"/>
    <w:link w:val="1041"/>
    <w:uiPriority w:val="99"/>
    <w:rPr>
      <w:rFonts w:ascii="Times New Roman" w:hAnsi="Times New Roman" w:cs="Times New Roman"/>
      <w:sz w:val="26"/>
      <w:szCs w:val="26"/>
    </w:rPr>
  </w:style>
  <w:style w:type="paragraph" w:styleId="1095">
    <w:name w:val="Основной текст с отступом"/>
    <w:basedOn w:val="1041"/>
    <w:next w:val="1095"/>
    <w:link w:val="1096"/>
    <w:uiPriority w:val="99"/>
    <w:unhideWhenUsed/>
    <w:pPr>
      <w:ind w:firstLine="709"/>
      <w:jc w:val="both"/>
    </w:pPr>
    <w:rPr>
      <w:color w:val="000000"/>
      <w:sz w:val="28"/>
      <w:szCs w:val="28"/>
      <w:lang w:val="en-US"/>
    </w:rPr>
  </w:style>
  <w:style w:type="character" w:styleId="1096">
    <w:name w:val="Основной текст с отступом Знак"/>
    <w:next w:val="1096"/>
    <w:link w:val="1095"/>
    <w:uiPriority w:val="99"/>
    <w:rPr>
      <w:color w:val="000000"/>
      <w:sz w:val="28"/>
      <w:szCs w:val="28"/>
      <w:lang w:eastAsia="ar-SA"/>
    </w:rPr>
  </w:style>
  <w:style w:type="paragraph" w:styleId="1097">
    <w:name w:val="ConsPlusNormal"/>
    <w:next w:val="1097"/>
    <w:link w:val="109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1098">
    <w:name w:val="ConsPlusNormal Знак"/>
    <w:next w:val="1098"/>
    <w:link w:val="1097"/>
    <w:rPr>
      <w:rFonts w:ascii="Arial" w:hAnsi="Arial" w:cs="Arial"/>
      <w:lang w:val="ru-RU" w:eastAsia="ru-RU" w:bidi="ar-SA"/>
    </w:rPr>
  </w:style>
  <w:style w:type="paragraph" w:styleId="1099">
    <w:name w:val="Основной текст с отступом 2"/>
    <w:basedOn w:val="1041"/>
    <w:next w:val="1099"/>
    <w:link w:val="1100"/>
    <w:uiPriority w:val="99"/>
    <w:unhideWhenUsed/>
    <w:pPr>
      <w:ind w:firstLine="709"/>
      <w:jc w:val="both"/>
    </w:pPr>
    <w:rPr>
      <w:color w:val="000000"/>
      <w:sz w:val="26"/>
      <w:szCs w:val="26"/>
      <w:lang w:val="en-US"/>
    </w:rPr>
  </w:style>
  <w:style w:type="character" w:styleId="1100">
    <w:name w:val="Основной текст с отступом 2 Знак"/>
    <w:next w:val="1100"/>
    <w:link w:val="1099"/>
    <w:uiPriority w:val="99"/>
    <w:rPr>
      <w:color w:val="000000"/>
      <w:sz w:val="26"/>
      <w:szCs w:val="26"/>
      <w:lang w:eastAsia="ar-SA"/>
    </w:rPr>
  </w:style>
  <w:style w:type="character" w:styleId="1101">
    <w:name w:val="Знак примечания"/>
    <w:next w:val="1101"/>
    <w:link w:val="1041"/>
    <w:uiPriority w:val="99"/>
    <w:semiHidden/>
    <w:unhideWhenUsed/>
    <w:rPr>
      <w:sz w:val="16"/>
      <w:szCs w:val="16"/>
    </w:rPr>
  </w:style>
  <w:style w:type="paragraph" w:styleId="1102">
    <w:name w:val="Текст примечания"/>
    <w:basedOn w:val="1041"/>
    <w:next w:val="1102"/>
    <w:link w:val="1103"/>
    <w:uiPriority w:val="99"/>
    <w:semiHidden/>
    <w:unhideWhenUsed/>
  </w:style>
  <w:style w:type="character" w:styleId="1103">
    <w:name w:val="Текст примечания Знак"/>
    <w:next w:val="1103"/>
    <w:link w:val="1102"/>
    <w:uiPriority w:val="99"/>
    <w:semiHidden/>
    <w:rPr>
      <w:lang w:eastAsia="ar-SA"/>
    </w:rPr>
  </w:style>
  <w:style w:type="paragraph" w:styleId="1104">
    <w:name w:val="Тема примечания"/>
    <w:basedOn w:val="1102"/>
    <w:next w:val="1102"/>
    <w:link w:val="1105"/>
    <w:uiPriority w:val="99"/>
    <w:semiHidden/>
    <w:unhideWhenUsed/>
    <w:rPr>
      <w:b/>
      <w:bCs/>
    </w:rPr>
  </w:style>
  <w:style w:type="character" w:styleId="1105">
    <w:name w:val="Тема примечания Знак"/>
    <w:next w:val="1105"/>
    <w:link w:val="1104"/>
    <w:uiPriority w:val="99"/>
    <w:semiHidden/>
    <w:rPr>
      <w:b/>
      <w:bCs/>
      <w:lang w:eastAsia="ar-SA"/>
    </w:rPr>
  </w:style>
  <w:style w:type="character" w:styleId="1106">
    <w:name w:val="Строгий"/>
    <w:next w:val="1106"/>
    <w:link w:val="1041"/>
    <w:uiPriority w:val="22"/>
    <w:qFormat/>
    <w:rPr>
      <w:b/>
      <w:bCs/>
    </w:rPr>
  </w:style>
  <w:style w:type="character" w:styleId="1107">
    <w:name w:val="Заголовок 2 Знак"/>
    <w:next w:val="1107"/>
    <w:link w:val="1043"/>
    <w:uiPriority w:val="9"/>
    <w:rPr>
      <w:b/>
      <w:bCs/>
      <w:sz w:val="36"/>
      <w:szCs w:val="36"/>
    </w:rPr>
  </w:style>
  <w:style w:type="paragraph" w:styleId="1108">
    <w:name w:val="paragraph"/>
    <w:basedOn w:val="1041"/>
    <w:next w:val="1108"/>
    <w:link w:val="1041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09">
    <w:name w:val="Заголовок 1 Знак"/>
    <w:next w:val="1109"/>
    <w:link w:val="1042"/>
    <w:uiPriority w:val="9"/>
    <w:rPr>
      <w:rFonts w:ascii="Calibri Light" w:hAnsi="Calibri Light" w:eastAsia="Times New Roman" w:cs="Times New Roman"/>
      <w:b/>
      <w:bCs/>
      <w:sz w:val="32"/>
      <w:szCs w:val="32"/>
      <w:lang w:eastAsia="ar-SA"/>
    </w:rPr>
  </w:style>
  <w:style w:type="paragraph" w:styleId="1110">
    <w:name w:val="b-article__text"/>
    <w:basedOn w:val="1041"/>
    <w:next w:val="1110"/>
    <w:link w:val="1041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11">
    <w:name w:val="Заголовок 4 Знак"/>
    <w:next w:val="1111"/>
    <w:link w:val="1045"/>
    <w:uiPriority w:val="9"/>
    <w:semiHidden/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character" w:styleId="1112">
    <w:name w:val="Заголовок 3 Знак"/>
    <w:next w:val="1112"/>
    <w:link w:val="1044"/>
    <w:uiPriority w:val="9"/>
    <w:semiHidden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paragraph" w:styleId="1113">
    <w:name w:val="Абзац списка"/>
    <w:basedOn w:val="1041"/>
    <w:next w:val="1113"/>
    <w:link w:val="1041"/>
    <w:uiPriority w:val="34"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14">
    <w:name w:val="Header"/>
    <w:next w:val="1114"/>
    <w:link w:val="1041"/>
  </w:style>
  <w:style w:type="character" w:styleId="1115">
    <w:name w:val="Title"/>
    <w:next w:val="1115"/>
    <w:link w:val="1041"/>
  </w:style>
  <w:style w:type="character" w:styleId="1116">
    <w:name w:val="dashed"/>
    <w:next w:val="1116"/>
    <w:link w:val="1041"/>
  </w:style>
  <w:style w:type="character" w:styleId="1117">
    <w:name w:val="buttons"/>
    <w:next w:val="1117"/>
    <w:link w:val="1041"/>
  </w:style>
  <w:style w:type="paragraph" w:styleId="1118">
    <w:name w:val="float"/>
    <w:basedOn w:val="1041"/>
    <w:next w:val="1118"/>
    <w:link w:val="1041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19">
    <w:name w:val="Caption"/>
    <w:next w:val="1119"/>
    <w:link w:val="1041"/>
  </w:style>
  <w:style w:type="character" w:styleId="1120">
    <w:name w:val="time"/>
    <w:next w:val="1120"/>
    <w:link w:val="1041"/>
  </w:style>
  <w:style w:type="character" w:styleId="1121">
    <w:name w:val="i18n"/>
    <w:next w:val="1121"/>
    <w:link w:val="1041"/>
  </w:style>
  <w:style w:type="paragraph" w:styleId="1122">
    <w:name w:val="z-Начало формы"/>
    <w:basedOn w:val="1041"/>
    <w:next w:val="1041"/>
    <w:link w:val="1123"/>
    <w:hidden/>
    <w:uiPriority w:val="99"/>
    <w:semiHidden/>
    <w:unhideWhenUsed/>
    <w:pPr>
      <w:jc w:val="center"/>
      <w:pBdr>
        <w:bottom w:val="single" w:color="000000" w:sz="6" w:space="1"/>
      </w:pBdr>
    </w:pPr>
    <w:rPr>
      <w:rFonts w:ascii="Arial" w:hAnsi="Arial" w:cs="Arial"/>
      <w:vanish/>
      <w:sz w:val="16"/>
      <w:szCs w:val="16"/>
      <w:lang w:eastAsia="ru-RU"/>
    </w:rPr>
  </w:style>
  <w:style w:type="character" w:styleId="1123">
    <w:name w:val="z-Начало формы Знак"/>
    <w:next w:val="1123"/>
    <w:link w:val="1122"/>
    <w:uiPriority w:val="99"/>
    <w:semiHidden/>
    <w:rPr>
      <w:rFonts w:ascii="Arial" w:hAnsi="Arial" w:cs="Arial"/>
      <w:vanish/>
      <w:sz w:val="16"/>
      <w:szCs w:val="16"/>
    </w:rPr>
  </w:style>
  <w:style w:type="paragraph" w:styleId="1124">
    <w:name w:val="z-Конец формы"/>
    <w:basedOn w:val="1041"/>
    <w:next w:val="1041"/>
    <w:link w:val="1125"/>
    <w:hidden/>
    <w:uiPriority w:val="99"/>
    <w:semiHidden/>
    <w:unhideWhenUsed/>
    <w:pPr>
      <w:jc w:val="center"/>
      <w:pBdr>
        <w:top w:val="single" w:color="000000" w:sz="6" w:space="1"/>
      </w:pBdr>
    </w:pPr>
    <w:rPr>
      <w:rFonts w:ascii="Arial" w:hAnsi="Arial" w:cs="Arial"/>
      <w:vanish/>
      <w:sz w:val="16"/>
      <w:szCs w:val="16"/>
      <w:lang w:eastAsia="ru-RU"/>
    </w:rPr>
  </w:style>
  <w:style w:type="character" w:styleId="1125">
    <w:name w:val="z-Конец формы Знак"/>
    <w:next w:val="1125"/>
    <w:link w:val="1124"/>
    <w:uiPriority w:val="99"/>
    <w:semiHidden/>
    <w:rPr>
      <w:rFonts w:ascii="Arial" w:hAnsi="Arial" w:cs="Arial"/>
      <w:vanish/>
      <w:sz w:val="16"/>
      <w:szCs w:val="16"/>
    </w:rPr>
  </w:style>
  <w:style w:type="character" w:styleId="1126">
    <w:name w:val="message-time"/>
    <w:next w:val="1126"/>
    <w:link w:val="1041"/>
  </w:style>
  <w:style w:type="character" w:styleId="1127" w:default="1">
    <w:name w:val="Default Paragraph Font"/>
    <w:uiPriority w:val="1"/>
    <w:semiHidden/>
    <w:unhideWhenUsed/>
  </w:style>
  <w:style w:type="numbering" w:styleId="1128" w:default="1">
    <w:name w:val="No List"/>
    <w:uiPriority w:val="99"/>
    <w:semiHidden/>
    <w:unhideWhenUsed/>
  </w:style>
  <w:style w:type="table" w:styleId="11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hyperlink" Target="https://minpromtorg.udmurt.ru/materials/161" TargetMode="External"/><Relationship Id="rId13" Type="http://schemas.openxmlformats.org/officeDocument/2006/relationships/hyperlink" Target="http://minpromtorg.udmurt.ru/materials/161" TargetMode="External"/><Relationship Id="rId14" Type="http://schemas.openxmlformats.org/officeDocument/2006/relationships/hyperlink" Target="https://convergentum.ru/" TargetMode="External"/><Relationship Id="rId15" Type="http://schemas.openxmlformats.org/officeDocument/2006/relationships/hyperlink" Target="http://minpromtorg.udmurt.ru/news/1359" TargetMode="External"/><Relationship Id="rId16" Type="http://schemas.openxmlformats.org/officeDocument/2006/relationships/hyperlink" Target="https://my.mts-link.ru/j/95521243/9968593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Удмурт Республикаысь</dc:title>
  <dc:creator>Рустем Каримов</dc:creator>
  <cp:lastModifiedBy>adminloc</cp:lastModifiedBy>
  <cp:revision>69</cp:revision>
  <dcterms:created xsi:type="dcterms:W3CDTF">2023-12-05T08:05:00Z</dcterms:created>
  <dcterms:modified xsi:type="dcterms:W3CDTF">2025-08-14T11:50:47Z</dcterms:modified>
  <cp:version>917504</cp:version>
</cp:coreProperties>
</file>